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93E" w:rsidRPr="00692094" w:rsidRDefault="006167C8" w:rsidP="00692094">
      <w:pPr>
        <w:pStyle w:val="Heading1"/>
        <w:jc w:val="center"/>
        <w:rPr>
          <w:rFonts w:ascii="Bookman Old Style" w:hAnsi="Bookman Old Style"/>
          <w:color w:val="000000" w:themeColor="text1"/>
          <w:sz w:val="22"/>
          <w:szCs w:val="22"/>
        </w:rPr>
      </w:pPr>
      <w:r w:rsidRPr="00692094">
        <w:rPr>
          <w:rFonts w:ascii="Bookman Old Style" w:hAnsi="Bookman Old Style"/>
          <w:color w:val="000000" w:themeColor="text1"/>
          <w:sz w:val="22"/>
          <w:szCs w:val="22"/>
        </w:rPr>
        <w:t>Testing Efficacy of</w:t>
      </w:r>
      <w:r>
        <w:rPr>
          <w:rFonts w:ascii="Bookman Old Style" w:hAnsi="Bookman Old Style"/>
          <w:color w:val="000000" w:themeColor="text1"/>
          <w:sz w:val="22"/>
          <w:szCs w:val="22"/>
        </w:rPr>
        <w:t xml:space="preserve"> Lemongrass, Neem, and Alcohol ag</w:t>
      </w:r>
      <w:bookmarkStart w:id="0" w:name="_GoBack"/>
      <w:bookmarkEnd w:id="0"/>
      <w:r w:rsidRPr="00692094">
        <w:rPr>
          <w:rFonts w:ascii="Bookman Old Style" w:hAnsi="Bookman Old Style"/>
          <w:color w:val="000000" w:themeColor="text1"/>
          <w:sz w:val="22"/>
          <w:szCs w:val="22"/>
        </w:rPr>
        <w:t>ainst Adult Mosquito Density</w:t>
      </w:r>
    </w:p>
    <w:p w:rsidR="0050693E" w:rsidRPr="00692094" w:rsidRDefault="006167C8" w:rsidP="00692094">
      <w:pPr>
        <w:pStyle w:val="Heading2"/>
        <w:jc w:val="both"/>
        <w:rPr>
          <w:rFonts w:ascii="Bookman Old Style" w:hAnsi="Bookman Old Style"/>
          <w:color w:val="000000" w:themeColor="text1"/>
          <w:sz w:val="22"/>
          <w:szCs w:val="22"/>
        </w:rPr>
      </w:pPr>
      <w:r w:rsidRPr="00692094">
        <w:rPr>
          <w:rFonts w:ascii="Bookman Old Style" w:hAnsi="Bookman Old Style"/>
          <w:color w:val="000000" w:themeColor="text1"/>
          <w:sz w:val="22"/>
          <w:szCs w:val="22"/>
        </w:rPr>
        <w:t>Introduction</w:t>
      </w:r>
    </w:p>
    <w:p w:rsidR="0050693E" w:rsidRPr="00692094" w:rsidRDefault="006167C8" w:rsidP="00692094">
      <w:pPr>
        <w:jc w:val="both"/>
        <w:rPr>
          <w:rFonts w:ascii="Bookman Old Style" w:hAnsi="Bookman Old Style"/>
          <w:color w:val="000000" w:themeColor="text1"/>
        </w:rPr>
      </w:pPr>
      <w:r w:rsidRPr="00692094">
        <w:rPr>
          <w:rFonts w:ascii="Bookman Old Style" w:hAnsi="Bookman Old Style"/>
          <w:color w:val="000000" w:themeColor="text1"/>
        </w:rPr>
        <w:t xml:space="preserve">This study </w:t>
      </w:r>
      <w:r w:rsidRPr="00692094">
        <w:rPr>
          <w:rFonts w:ascii="Bookman Old Style" w:hAnsi="Bookman Old Style"/>
          <w:color w:val="000000" w:themeColor="text1"/>
        </w:rPr>
        <w:t>evaluated the repellent and knockdown efficacy of a natural formulation containing Lemongrass, Neem, and Alcohol against adult mosquitoes under controlled laboratory conditions. The experiment involved three treatment replicates and one untreated control t</w:t>
      </w:r>
      <w:r w:rsidRPr="00692094">
        <w:rPr>
          <w:rFonts w:ascii="Bookman Old Style" w:hAnsi="Bookman Old Style"/>
          <w:color w:val="000000" w:themeColor="text1"/>
        </w:rPr>
        <w:t>o determine protection rate, knockdown performance, and environmental influence.</w:t>
      </w:r>
    </w:p>
    <w:p w:rsidR="0050693E" w:rsidRPr="00692094" w:rsidRDefault="006167C8" w:rsidP="00692094">
      <w:pPr>
        <w:pStyle w:val="Heading2"/>
        <w:jc w:val="both"/>
        <w:rPr>
          <w:rFonts w:ascii="Bookman Old Style" w:hAnsi="Bookman Old Style"/>
          <w:color w:val="000000" w:themeColor="text1"/>
          <w:sz w:val="22"/>
          <w:szCs w:val="22"/>
        </w:rPr>
      </w:pPr>
      <w:r w:rsidRPr="00692094">
        <w:rPr>
          <w:rFonts w:ascii="Bookman Old Style" w:hAnsi="Bookman Old Style"/>
          <w:color w:val="000000" w:themeColor="text1"/>
          <w:sz w:val="22"/>
          <w:szCs w:val="22"/>
        </w:rPr>
        <w:t>Materials and Methods</w:t>
      </w:r>
    </w:p>
    <w:p w:rsidR="0050693E" w:rsidRPr="00692094" w:rsidRDefault="006167C8" w:rsidP="00692094">
      <w:pPr>
        <w:jc w:val="both"/>
        <w:rPr>
          <w:rFonts w:ascii="Bookman Old Style" w:hAnsi="Bookman Old Style"/>
          <w:color w:val="000000" w:themeColor="text1"/>
        </w:rPr>
      </w:pPr>
      <w:r w:rsidRPr="00692094">
        <w:rPr>
          <w:rFonts w:ascii="Bookman Old Style" w:hAnsi="Bookman Old Style"/>
          <w:color w:val="000000" w:themeColor="text1"/>
        </w:rPr>
        <w:t>Tests were conducted in a 12 × 12 m laboratory chamber. Sixty healthy female mosquitoes (Aedes, Anopheles, and Culex; 20 each) were released per replicat</w:t>
      </w:r>
      <w:r w:rsidRPr="00692094">
        <w:rPr>
          <w:rFonts w:ascii="Bookman Old Style" w:hAnsi="Bookman Old Style"/>
          <w:color w:val="000000" w:themeColor="text1"/>
        </w:rPr>
        <w:t>e. Repellent spray was applied on volunteers’ forearms and feet following standard protocol. Observations were made for 60 minutes, recording mosquito landings, probing, and knockdown events. Temperature and humidity were monitored throughout the experimen</w:t>
      </w:r>
      <w:r w:rsidRPr="00692094">
        <w:rPr>
          <w:rFonts w:ascii="Bookman Old Style" w:hAnsi="Bookman Old Style"/>
          <w:color w:val="000000" w:themeColor="text1"/>
        </w:rPr>
        <w:t>t (28.8–29°C; 72–77% RH).</w:t>
      </w:r>
    </w:p>
    <w:p w:rsidR="0050693E" w:rsidRPr="00692094" w:rsidRDefault="006167C8" w:rsidP="00692094">
      <w:pPr>
        <w:pStyle w:val="Heading2"/>
        <w:jc w:val="both"/>
        <w:rPr>
          <w:rFonts w:ascii="Bookman Old Style" w:hAnsi="Bookman Old Style"/>
          <w:color w:val="000000" w:themeColor="text1"/>
          <w:sz w:val="22"/>
          <w:szCs w:val="22"/>
        </w:rPr>
      </w:pPr>
      <w:r w:rsidRPr="00692094">
        <w:rPr>
          <w:rFonts w:ascii="Bookman Old Style" w:hAnsi="Bookman Old Style"/>
          <w:color w:val="000000" w:themeColor="text1"/>
          <w:sz w:val="22"/>
          <w:szCs w:val="22"/>
        </w:rPr>
        <w:t>Results</w:t>
      </w:r>
    </w:p>
    <w:p w:rsidR="0050693E" w:rsidRPr="00692094" w:rsidRDefault="006167C8" w:rsidP="00692094">
      <w:pPr>
        <w:jc w:val="both"/>
        <w:rPr>
          <w:rFonts w:ascii="Bookman Old Style" w:hAnsi="Bookman Old Style"/>
          <w:color w:val="000000" w:themeColor="text1"/>
        </w:rPr>
      </w:pPr>
      <w:r w:rsidRPr="00692094">
        <w:rPr>
          <w:rFonts w:ascii="Bookman Old Style" w:hAnsi="Bookman Old Style"/>
          <w:color w:val="000000" w:themeColor="text1"/>
        </w:rPr>
        <w:t>The Lemongrass, Neem &amp; Alcohol formulation demonstrated a mean repellency of **91.78%**, significantly reducing mosquito landings compared to the control (30 landings). Knockdown effects increased progressively across repl</w:t>
      </w:r>
      <w:r w:rsidRPr="00692094">
        <w:rPr>
          <w:rFonts w:ascii="Bookman Old Style" w:hAnsi="Bookman Old Style"/>
          <w:color w:val="000000" w:themeColor="text1"/>
        </w:rPr>
        <w:t>icates, reaching up to **40%** in the third trial with an average of **23.89%**. Environmental stability was confirmed as performance remained consistent across moderate humidity and temperature variations.</w:t>
      </w:r>
    </w:p>
    <w:p w:rsidR="0050693E" w:rsidRPr="00692094" w:rsidRDefault="006167C8" w:rsidP="00692094">
      <w:pPr>
        <w:pStyle w:val="Heading2"/>
        <w:jc w:val="both"/>
        <w:rPr>
          <w:rFonts w:ascii="Bookman Old Style" w:hAnsi="Bookman Old Style"/>
          <w:color w:val="000000" w:themeColor="text1"/>
          <w:sz w:val="22"/>
          <w:szCs w:val="22"/>
        </w:rPr>
      </w:pPr>
      <w:r w:rsidRPr="00692094">
        <w:rPr>
          <w:rFonts w:ascii="Bookman Old Style" w:hAnsi="Bookman Old Style"/>
          <w:color w:val="000000" w:themeColor="text1"/>
          <w:sz w:val="22"/>
          <w:szCs w:val="22"/>
        </w:rPr>
        <w:t>Conclusion</w:t>
      </w:r>
    </w:p>
    <w:p w:rsidR="0050693E" w:rsidRPr="00692094" w:rsidRDefault="006167C8" w:rsidP="00692094">
      <w:pPr>
        <w:jc w:val="both"/>
        <w:rPr>
          <w:rFonts w:ascii="Bookman Old Style" w:hAnsi="Bookman Old Style"/>
          <w:color w:val="000000" w:themeColor="text1"/>
        </w:rPr>
      </w:pPr>
      <w:r w:rsidRPr="00692094">
        <w:rPr>
          <w:rFonts w:ascii="Bookman Old Style" w:hAnsi="Bookman Old Style"/>
          <w:color w:val="000000" w:themeColor="text1"/>
        </w:rPr>
        <w:t>The Lemongrass, Neem &amp; Alcohol mosquit</w:t>
      </w:r>
      <w:r w:rsidRPr="00692094">
        <w:rPr>
          <w:rFonts w:ascii="Bookman Old Style" w:hAnsi="Bookman Old Style"/>
          <w:color w:val="000000" w:themeColor="text1"/>
        </w:rPr>
        <w:t>o repellent exhibited strong dual-action efficacy, achieving over **91% repellency** and an average **23.89% knockdown rate** within 60 minutes. These results confirm the formulation’s high effectiveness and environmental robustness, positioning it as a pr</w:t>
      </w:r>
      <w:r w:rsidRPr="00692094">
        <w:rPr>
          <w:rFonts w:ascii="Bookman Old Style" w:hAnsi="Bookman Old Style"/>
          <w:color w:val="000000" w:themeColor="text1"/>
        </w:rPr>
        <w:t>omising natural mosquito control solution.</w:t>
      </w:r>
    </w:p>
    <w:p w:rsidR="0050693E" w:rsidRPr="00692094" w:rsidRDefault="006167C8" w:rsidP="00692094">
      <w:pPr>
        <w:pStyle w:val="Heading2"/>
        <w:jc w:val="both"/>
        <w:rPr>
          <w:rFonts w:ascii="Bookman Old Style" w:hAnsi="Bookman Old Style"/>
          <w:color w:val="000000" w:themeColor="text1"/>
          <w:sz w:val="22"/>
          <w:szCs w:val="22"/>
        </w:rPr>
      </w:pPr>
      <w:r w:rsidRPr="00692094">
        <w:rPr>
          <w:rFonts w:ascii="Bookman Old Style" w:hAnsi="Bookman Old Style"/>
          <w:color w:val="000000" w:themeColor="text1"/>
          <w:sz w:val="22"/>
          <w:szCs w:val="22"/>
        </w:rPr>
        <w:t>Recommendations</w:t>
      </w:r>
    </w:p>
    <w:p w:rsidR="0050693E" w:rsidRPr="00692094" w:rsidRDefault="006167C8" w:rsidP="00692094">
      <w:pPr>
        <w:jc w:val="both"/>
        <w:rPr>
          <w:rFonts w:ascii="Bookman Old Style" w:hAnsi="Bookman Old Style"/>
          <w:color w:val="000000" w:themeColor="text1"/>
        </w:rPr>
      </w:pPr>
      <w:r w:rsidRPr="00692094">
        <w:rPr>
          <w:rFonts w:ascii="Bookman Old Style" w:hAnsi="Bookman Old Style"/>
          <w:color w:val="000000" w:themeColor="text1"/>
        </w:rPr>
        <w:t>• Extend testing duration to evaluate residual protection and long-term knockdown effects.</w:t>
      </w:r>
      <w:r w:rsidRPr="00692094">
        <w:rPr>
          <w:rFonts w:ascii="Bookman Old Style" w:hAnsi="Bookman Old Style"/>
          <w:color w:val="000000" w:themeColor="text1"/>
        </w:rPr>
        <w:br/>
        <w:t>• Conduct species-specific assessments to understand differential susceptibility.</w:t>
      </w:r>
      <w:r w:rsidRPr="00692094">
        <w:rPr>
          <w:rFonts w:ascii="Bookman Old Style" w:hAnsi="Bookman Old Style"/>
          <w:color w:val="000000" w:themeColor="text1"/>
        </w:rPr>
        <w:br/>
        <w:t>• Perform semi-field and</w:t>
      </w:r>
      <w:r w:rsidRPr="00692094">
        <w:rPr>
          <w:rFonts w:ascii="Bookman Old Style" w:hAnsi="Bookman Old Style"/>
          <w:color w:val="000000" w:themeColor="text1"/>
        </w:rPr>
        <w:t xml:space="preserve"> field validation to confirm laboratory findings in real-world environments.</w:t>
      </w:r>
    </w:p>
    <w:p w:rsidR="0050693E" w:rsidRPr="00692094" w:rsidRDefault="006167C8" w:rsidP="00692094">
      <w:pPr>
        <w:jc w:val="both"/>
        <w:rPr>
          <w:rFonts w:ascii="Bookman Old Style" w:hAnsi="Bookman Old Style"/>
          <w:color w:val="000000" w:themeColor="text1"/>
        </w:rPr>
      </w:pPr>
      <w:r w:rsidRPr="00692094">
        <w:rPr>
          <w:rFonts w:ascii="Bookman Old Style" w:hAnsi="Bookman Old Style"/>
          <w:color w:val="000000" w:themeColor="text1"/>
        </w:rPr>
        <w:br/>
      </w:r>
      <w:r w:rsidRPr="00692094">
        <w:rPr>
          <w:rFonts w:ascii="Bookman Old Style" w:hAnsi="Bookman Old Style"/>
          <w:b/>
          <w:color w:val="000000" w:themeColor="text1"/>
        </w:rPr>
        <w:t>Submitted By:</w:t>
      </w:r>
      <w:r w:rsidRPr="00692094">
        <w:rPr>
          <w:rFonts w:ascii="Bookman Old Style" w:hAnsi="Bookman Old Style"/>
          <w:color w:val="000000" w:themeColor="text1"/>
        </w:rPr>
        <w:t xml:space="preserve"> Sourav Singh</w:t>
      </w:r>
      <w:r w:rsidRPr="00692094">
        <w:rPr>
          <w:rFonts w:ascii="Bookman Old Style" w:hAnsi="Bookman Old Style"/>
          <w:color w:val="000000" w:themeColor="text1"/>
        </w:rPr>
        <w:tab/>
      </w:r>
      <w:r w:rsidRPr="00692094">
        <w:rPr>
          <w:rFonts w:ascii="Bookman Old Style" w:hAnsi="Bookman Old Style"/>
          <w:color w:val="000000" w:themeColor="text1"/>
        </w:rPr>
        <w:tab/>
      </w:r>
      <w:r w:rsidRPr="00692094">
        <w:rPr>
          <w:rFonts w:ascii="Bookman Old Style" w:hAnsi="Bookman Old Style"/>
          <w:b/>
          <w:color w:val="000000" w:themeColor="text1"/>
        </w:rPr>
        <w:t>Submitted To:</w:t>
      </w:r>
      <w:r w:rsidRPr="00692094">
        <w:rPr>
          <w:rFonts w:ascii="Bookman Old Style" w:hAnsi="Bookman Old Style"/>
          <w:color w:val="000000" w:themeColor="text1"/>
        </w:rPr>
        <w:t xml:space="preserve"> Dr. A</w:t>
      </w:r>
      <w:r w:rsidR="00692094">
        <w:rPr>
          <w:rFonts w:ascii="Bookman Old Style" w:hAnsi="Bookman Old Style"/>
          <w:color w:val="000000" w:themeColor="text1"/>
        </w:rPr>
        <w:t>nushrita</w:t>
      </w:r>
      <w:r w:rsidR="00692094">
        <w:rPr>
          <w:rFonts w:ascii="Bookman Old Style" w:hAnsi="Bookman Old Style"/>
          <w:color w:val="000000" w:themeColor="text1"/>
        </w:rPr>
        <w:br/>
      </w:r>
    </w:p>
    <w:sectPr w:rsidR="0050693E" w:rsidRPr="0069209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50693E"/>
    <w:rsid w:val="006167C8"/>
    <w:rsid w:val="0069209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CDA72FD-51BC-4021-9188-005B5306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3E56C-A8E3-4CBD-8F4D-4CF43A2F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Sourav Singh</cp:lastModifiedBy>
  <cp:revision>3</cp:revision>
  <dcterms:created xsi:type="dcterms:W3CDTF">2013-12-23T23:15:00Z</dcterms:created>
  <dcterms:modified xsi:type="dcterms:W3CDTF">2025-10-21T11:04:00Z</dcterms:modified>
  <cp:category/>
</cp:coreProperties>
</file>